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E6" w:rsidRDefault="00424CE6">
      <w:pPr>
        <w:pStyle w:val="a3"/>
        <w:ind w:left="4150"/>
        <w:rPr>
          <w:rFonts w:ascii="Times New Roman"/>
          <w:sz w:val="20"/>
        </w:rPr>
      </w:pPr>
      <w:bookmarkStart w:id="0" w:name="_GoBack"/>
      <w:bookmarkEnd w:id="0"/>
    </w:p>
    <w:p w:rsidR="00424CE6" w:rsidRDefault="00424CE6">
      <w:pPr>
        <w:pStyle w:val="a3"/>
        <w:spacing w:before="2"/>
        <w:rPr>
          <w:rFonts w:ascii="Times New Roman"/>
          <w:sz w:val="7"/>
        </w:rPr>
      </w:pPr>
    </w:p>
    <w:p w:rsidR="002D584E" w:rsidRPr="00D178D5" w:rsidRDefault="002D584E" w:rsidP="002D584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-186690</wp:posOffset>
            </wp:positionV>
            <wp:extent cx="1389380" cy="714375"/>
            <wp:effectExtent l="0" t="0" r="1270" b="9525"/>
            <wp:wrapNone/>
            <wp:docPr id="2" name="圖片 2" descr="淼剎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淼剎 LOGO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8D5">
        <w:rPr>
          <w:rFonts w:ascii="標楷體" w:eastAsia="標楷體" w:hAnsi="標楷體" w:hint="eastAsia"/>
          <w:sz w:val="40"/>
          <w:szCs w:val="40"/>
        </w:rPr>
        <w:t>貴 宏 興</w:t>
      </w:r>
      <w:r w:rsidRPr="00D178D5">
        <w:rPr>
          <w:rFonts w:ascii="標楷體" w:eastAsia="標楷體" w:hAnsi="標楷體"/>
          <w:sz w:val="40"/>
          <w:szCs w:val="40"/>
        </w:rPr>
        <w:t xml:space="preserve"> </w:t>
      </w:r>
      <w:r w:rsidRPr="00D178D5">
        <w:rPr>
          <w:rFonts w:ascii="標楷體" w:eastAsia="標楷體" w:hAnsi="標楷體" w:hint="eastAsia"/>
          <w:sz w:val="40"/>
          <w:szCs w:val="40"/>
        </w:rPr>
        <w:t>業</w:t>
      </w:r>
      <w:r w:rsidRPr="00D178D5">
        <w:rPr>
          <w:rFonts w:ascii="標楷體" w:eastAsia="標楷體" w:hAnsi="標楷體"/>
          <w:sz w:val="40"/>
          <w:szCs w:val="40"/>
        </w:rPr>
        <w:t xml:space="preserve"> 股 份 </w:t>
      </w:r>
      <w:r w:rsidRPr="00D178D5">
        <w:rPr>
          <w:rFonts w:ascii="標楷體" w:eastAsia="標楷體" w:hAnsi="標楷體" w:hint="eastAsia"/>
          <w:sz w:val="40"/>
          <w:szCs w:val="40"/>
        </w:rPr>
        <w:t>有</w:t>
      </w:r>
      <w:r w:rsidRPr="00D178D5">
        <w:rPr>
          <w:rFonts w:ascii="標楷體" w:eastAsia="標楷體" w:hAnsi="標楷體"/>
          <w:sz w:val="40"/>
          <w:szCs w:val="40"/>
        </w:rPr>
        <w:t xml:space="preserve"> </w:t>
      </w:r>
      <w:r w:rsidRPr="00D178D5">
        <w:rPr>
          <w:rFonts w:ascii="標楷體" w:eastAsia="標楷體" w:hAnsi="標楷體" w:hint="eastAsia"/>
          <w:sz w:val="40"/>
          <w:szCs w:val="40"/>
        </w:rPr>
        <w:t>限</w:t>
      </w:r>
      <w:r w:rsidRPr="00D178D5">
        <w:rPr>
          <w:rFonts w:ascii="標楷體" w:eastAsia="標楷體" w:hAnsi="標楷體"/>
          <w:sz w:val="40"/>
          <w:szCs w:val="40"/>
        </w:rPr>
        <w:t xml:space="preserve"> </w:t>
      </w:r>
      <w:r w:rsidRPr="00D178D5">
        <w:rPr>
          <w:rFonts w:ascii="標楷體" w:eastAsia="標楷體" w:hAnsi="標楷體" w:hint="eastAsia"/>
          <w:sz w:val="40"/>
          <w:szCs w:val="40"/>
        </w:rPr>
        <w:t>公</w:t>
      </w:r>
      <w:r w:rsidRPr="00D178D5">
        <w:rPr>
          <w:rFonts w:ascii="標楷體" w:eastAsia="標楷體" w:hAnsi="標楷體"/>
          <w:sz w:val="40"/>
          <w:szCs w:val="40"/>
        </w:rPr>
        <w:t xml:space="preserve"> </w:t>
      </w:r>
      <w:r w:rsidRPr="00D178D5">
        <w:rPr>
          <w:rFonts w:ascii="標楷體" w:eastAsia="標楷體" w:hAnsi="標楷體" w:hint="eastAsia"/>
          <w:sz w:val="40"/>
          <w:szCs w:val="40"/>
        </w:rPr>
        <w:t>司</w:t>
      </w:r>
    </w:p>
    <w:p w:rsidR="002D584E" w:rsidRPr="00D178D5" w:rsidRDefault="002D584E" w:rsidP="002D584E">
      <w:pPr>
        <w:rPr>
          <w:rFonts w:hint="eastAsia"/>
          <w:sz w:val="30"/>
          <w:szCs w:val="30"/>
        </w:rPr>
      </w:pPr>
      <w:r w:rsidRPr="00635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D178D5">
        <w:rPr>
          <w:sz w:val="30"/>
          <w:szCs w:val="30"/>
        </w:rPr>
        <w:t xml:space="preserve">GUI-HONG </w:t>
      </w:r>
      <w:r w:rsidRPr="00D178D5">
        <w:rPr>
          <w:rFonts w:hint="eastAsia"/>
          <w:sz w:val="30"/>
          <w:szCs w:val="30"/>
        </w:rPr>
        <w:t>I</w:t>
      </w:r>
      <w:r w:rsidRPr="00D178D5">
        <w:rPr>
          <w:sz w:val="30"/>
          <w:szCs w:val="30"/>
        </w:rPr>
        <w:t>NDUSTRIAL CO., LTD.</w:t>
      </w:r>
    </w:p>
    <w:p w:rsidR="00424CE6" w:rsidRDefault="00424CE6">
      <w:pPr>
        <w:pStyle w:val="a3"/>
        <w:spacing w:before="10"/>
        <w:rPr>
          <w:rFonts w:ascii="微軟正黑體"/>
          <w:b/>
          <w:sz w:val="17"/>
        </w:rPr>
      </w:pPr>
    </w:p>
    <w:p w:rsidR="00424CE6" w:rsidRDefault="002D584E">
      <w:pPr>
        <w:spacing w:before="80"/>
        <w:ind w:left="61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MS-CCA-120</w:t>
      </w:r>
    </w:p>
    <w:p w:rsidR="00424CE6" w:rsidRDefault="002D584E">
      <w:pPr>
        <w:spacing w:before="189"/>
        <w:ind w:left="66"/>
        <w:jc w:val="center"/>
        <w:rPr>
          <w:sz w:val="40"/>
        </w:rPr>
      </w:pPr>
      <w:r>
        <w:rPr>
          <w:sz w:val="40"/>
        </w:rPr>
        <w:t>混凝土養護劑</w:t>
      </w:r>
    </w:p>
    <w:p w:rsidR="00424CE6" w:rsidRDefault="002D584E">
      <w:pPr>
        <w:pStyle w:val="a3"/>
        <w:spacing w:before="110" w:line="244" w:lineRule="auto"/>
        <w:ind w:left="2240" w:right="191" w:hanging="2127"/>
        <w:jc w:val="both"/>
      </w:pPr>
      <w:r>
        <w:rPr>
          <w:spacing w:val="7"/>
        </w:rPr>
        <w:t>說</w:t>
      </w:r>
      <w:r>
        <w:rPr>
          <w:spacing w:val="7"/>
        </w:rPr>
        <w:t xml:space="preserve">      </w:t>
      </w:r>
      <w:r>
        <w:rPr>
          <w:spacing w:val="7"/>
        </w:rPr>
        <w:t>明：</w:t>
      </w:r>
      <w:r>
        <w:rPr>
          <w:rFonts w:ascii="Times New Roman" w:eastAsia="Times New Roman"/>
        </w:rPr>
        <w:t>MS-CCA-120</w:t>
      </w:r>
      <w:r>
        <w:rPr>
          <w:rFonts w:ascii="Times New Roman" w:eastAsia="Times New Roman"/>
          <w:spacing w:val="81"/>
        </w:rPr>
        <w:t xml:space="preserve"> </w:t>
      </w:r>
      <w:r>
        <w:t>為水溶性高滲透混凝土養護劑，能快速於混凝土</w:t>
      </w:r>
      <w:r>
        <w:rPr>
          <w:w w:val="95"/>
        </w:rPr>
        <w:t>外表面形成一道無機礦物特殊薄膜以防止水分蒸發，並滲入混</w:t>
      </w:r>
      <w:r>
        <w:rPr>
          <w:spacing w:val="76"/>
          <w:w w:val="95"/>
        </w:rPr>
        <w:t xml:space="preserve"> </w:t>
      </w:r>
      <w:r>
        <w:rPr>
          <w:spacing w:val="-4"/>
          <w:w w:val="95"/>
        </w:rPr>
        <w:t>凝土中與</w:t>
      </w:r>
      <w:r>
        <w:rPr>
          <w:spacing w:val="-4"/>
          <w:w w:val="95"/>
        </w:rPr>
        <w:t xml:space="preserve"> </w:t>
      </w:r>
      <w:proofErr w:type="spellStart"/>
      <w:r>
        <w:rPr>
          <w:rFonts w:ascii="Times New Roman" w:eastAsia="Times New Roman"/>
          <w:w w:val="95"/>
        </w:rPr>
        <w:t>Ca</w:t>
      </w:r>
      <w:proofErr w:type="spellEnd"/>
      <w:r>
        <w:rPr>
          <w:rFonts w:ascii="Times New Roman" w:eastAsia="Times New Roman"/>
          <w:w w:val="95"/>
        </w:rPr>
        <w:t>(OH)</w:t>
      </w:r>
      <w:r>
        <w:rPr>
          <w:rFonts w:ascii="Times New Roman" w:eastAsia="Times New Roman"/>
          <w:w w:val="95"/>
          <w:vertAlign w:val="subscript"/>
        </w:rPr>
        <w:t>2</w:t>
      </w:r>
      <w:r>
        <w:rPr>
          <w:rFonts w:ascii="Times New Roman" w:eastAsia="Times New Roman"/>
          <w:spacing w:val="12"/>
          <w:w w:val="95"/>
        </w:rPr>
        <w:t xml:space="preserve"> </w:t>
      </w:r>
      <w:proofErr w:type="gramStart"/>
      <w:r>
        <w:rPr>
          <w:spacing w:val="13"/>
          <w:w w:val="95"/>
        </w:rPr>
        <w:t>加速水化反應</w:t>
      </w:r>
      <w:proofErr w:type="gramEnd"/>
      <w:r>
        <w:rPr>
          <w:spacing w:val="13"/>
          <w:w w:val="95"/>
        </w:rPr>
        <w:t>生成</w:t>
      </w:r>
      <w:r>
        <w:rPr>
          <w:spacing w:val="13"/>
          <w:w w:val="95"/>
        </w:rPr>
        <w:t xml:space="preserve"> </w:t>
      </w:r>
      <w:r>
        <w:rPr>
          <w:rFonts w:ascii="Times New Roman" w:eastAsia="Times New Roman"/>
          <w:w w:val="95"/>
        </w:rPr>
        <w:t>C-S-H</w:t>
      </w:r>
      <w:r>
        <w:rPr>
          <w:rFonts w:ascii="Times New Roman" w:eastAsia="Times New Roman"/>
          <w:spacing w:val="43"/>
          <w:w w:val="95"/>
        </w:rPr>
        <w:t xml:space="preserve"> </w:t>
      </w:r>
      <w:proofErr w:type="gramStart"/>
      <w:r>
        <w:rPr>
          <w:w w:val="95"/>
        </w:rPr>
        <w:t>礦化結晶</w:t>
      </w:r>
      <w:proofErr w:type="gramEnd"/>
      <w:r>
        <w:rPr>
          <w:w w:val="95"/>
        </w:rPr>
        <w:t>，以填補</w:t>
      </w:r>
      <w:r>
        <w:t>混凝土內部之毛細孔隙。</w:t>
      </w:r>
      <w:r>
        <w:rPr>
          <w:rFonts w:ascii="Times New Roman" w:eastAsia="Times New Roman"/>
        </w:rPr>
        <w:t>MS-CCA-120</w:t>
      </w:r>
      <w:r>
        <w:rPr>
          <w:rFonts w:ascii="Times New Roman" w:eastAsia="Times New Roman"/>
          <w:spacing w:val="29"/>
        </w:rPr>
        <w:t xml:space="preserve"> </w:t>
      </w:r>
      <w:r>
        <w:t>具有明顯提高混凝土初</w:t>
      </w:r>
      <w:r>
        <w:rPr>
          <w:w w:val="95"/>
        </w:rPr>
        <w:t>期強度，並防止因混凝土養護不足造成之收縮裂縫，並由於混</w:t>
      </w:r>
      <w:r>
        <w:rPr>
          <w:spacing w:val="60"/>
          <w:w w:val="95"/>
        </w:rPr>
        <w:t xml:space="preserve"> </w:t>
      </w:r>
      <w:proofErr w:type="gramStart"/>
      <w:r>
        <w:rPr>
          <w:spacing w:val="-2"/>
        </w:rPr>
        <w:t>凝土外表面</w:t>
      </w:r>
      <w:proofErr w:type="gramEnd"/>
      <w:r>
        <w:rPr>
          <w:spacing w:val="-2"/>
        </w:rPr>
        <w:t xml:space="preserve"> </w:t>
      </w:r>
      <w:r>
        <w:rPr>
          <w:rFonts w:ascii="Times New Roman" w:eastAsia="Times New Roman"/>
        </w:rPr>
        <w:t>3-5</w:t>
      </w:r>
      <w:r>
        <w:rPr>
          <w:rFonts w:ascii="Times New Roman" w:eastAsia="Times New Roman"/>
          <w:spacing w:val="46"/>
        </w:rPr>
        <w:t xml:space="preserve"> </w:t>
      </w:r>
      <w:r>
        <w:rPr>
          <w:rFonts w:ascii="Times New Roman" w:eastAsia="Times New Roman"/>
        </w:rPr>
        <w:t>mm</w:t>
      </w:r>
      <w:r>
        <w:rPr>
          <w:rFonts w:ascii="Times New Roman" w:eastAsia="Times New Roman"/>
          <w:spacing w:val="74"/>
        </w:rPr>
        <w:t xml:space="preserve"> </w:t>
      </w:r>
      <w:proofErr w:type="gramStart"/>
      <w:r>
        <w:t>之礦化</w:t>
      </w:r>
      <w:proofErr w:type="gramEnd"/>
      <w:r>
        <w:t>結晶作用，有效阻止水分及有害物</w:t>
      </w:r>
      <w:r>
        <w:rPr>
          <w:w w:val="95"/>
        </w:rPr>
        <w:t>質侵入，對於防止鋼筋腐蝕及提高混凝土結構物之耐久性使用</w:t>
      </w:r>
      <w:r>
        <w:rPr>
          <w:spacing w:val="60"/>
          <w:w w:val="95"/>
        </w:rPr>
        <w:t xml:space="preserve"> </w:t>
      </w:r>
      <w:r>
        <w:t>壽命均大幅提升。</w:t>
      </w:r>
    </w:p>
    <w:p w:rsidR="00424CE6" w:rsidRDefault="002D584E">
      <w:pPr>
        <w:pStyle w:val="a3"/>
        <w:spacing w:before="99"/>
        <w:ind w:left="113"/>
        <w:jc w:val="both"/>
      </w:pPr>
      <w:r>
        <w:rPr>
          <w:spacing w:val="21"/>
        </w:rPr>
        <w:t>特</w:t>
      </w:r>
      <w:r>
        <w:rPr>
          <w:spacing w:val="21"/>
        </w:rPr>
        <w:t xml:space="preserve">      </w:t>
      </w:r>
      <w:r>
        <w:rPr>
          <w:spacing w:val="21"/>
        </w:rPr>
        <w:t>性：</w:t>
      </w:r>
      <w:r>
        <w:t>1.</w:t>
      </w:r>
      <w:r>
        <w:t>無色無味無毒的高機能水性環保無機混凝土養護劑。</w:t>
      </w:r>
    </w:p>
    <w:p w:rsidR="00424CE6" w:rsidRDefault="002D584E">
      <w:pPr>
        <w:pStyle w:val="a5"/>
        <w:numPr>
          <w:ilvl w:val="0"/>
          <w:numId w:val="2"/>
        </w:numPr>
        <w:tabs>
          <w:tab w:val="left" w:pos="2562"/>
        </w:tabs>
        <w:rPr>
          <w:sz w:val="32"/>
        </w:rPr>
      </w:pPr>
      <w:r>
        <w:rPr>
          <w:w w:val="95"/>
          <w:sz w:val="32"/>
        </w:rPr>
        <w:t>可大幅加速混凝土</w:t>
      </w:r>
      <w:proofErr w:type="gramStart"/>
      <w:r>
        <w:rPr>
          <w:w w:val="95"/>
          <w:sz w:val="32"/>
        </w:rPr>
        <w:t>早期水化反應</w:t>
      </w:r>
      <w:proofErr w:type="gramEnd"/>
      <w:r>
        <w:rPr>
          <w:w w:val="95"/>
          <w:sz w:val="32"/>
        </w:rPr>
        <w:t>提升強度及有效減少裂縫。</w:t>
      </w:r>
    </w:p>
    <w:p w:rsidR="00424CE6" w:rsidRDefault="002D584E">
      <w:pPr>
        <w:pStyle w:val="a5"/>
        <w:numPr>
          <w:ilvl w:val="0"/>
          <w:numId w:val="2"/>
        </w:numPr>
        <w:tabs>
          <w:tab w:val="left" w:pos="2562"/>
        </w:tabs>
        <w:spacing w:before="5"/>
        <w:rPr>
          <w:sz w:val="32"/>
        </w:rPr>
      </w:pPr>
      <w:r>
        <w:rPr>
          <w:w w:val="95"/>
          <w:sz w:val="32"/>
        </w:rPr>
        <w:t>滲透混凝土內</w:t>
      </w:r>
      <w:proofErr w:type="gramStart"/>
      <w:r>
        <w:rPr>
          <w:w w:val="95"/>
          <w:sz w:val="32"/>
        </w:rPr>
        <w:t>產生礦化結晶</w:t>
      </w:r>
      <w:proofErr w:type="gramEnd"/>
      <w:r>
        <w:rPr>
          <w:w w:val="95"/>
          <w:sz w:val="32"/>
        </w:rPr>
        <w:t>，提升結構物耐久性使用壽命。</w:t>
      </w:r>
    </w:p>
    <w:p w:rsidR="00424CE6" w:rsidRDefault="002D584E">
      <w:pPr>
        <w:pStyle w:val="a5"/>
        <w:numPr>
          <w:ilvl w:val="0"/>
          <w:numId w:val="2"/>
        </w:numPr>
        <w:tabs>
          <w:tab w:val="left" w:pos="1580"/>
          <w:tab w:val="left" w:pos="2562"/>
        </w:tabs>
        <w:spacing w:line="319" w:lineRule="auto"/>
        <w:ind w:left="113" w:right="4447" w:firstLine="2126"/>
        <w:rPr>
          <w:sz w:val="32"/>
        </w:rPr>
      </w:pPr>
      <w:r>
        <w:pict>
          <v:rect id="_x0000_s1026" style="position:absolute;left:0;text-align:left;margin-left:129pt;margin-top:28.4pt;width:223.95pt;height:20.9pt;z-index:-251657728;mso-position-horizontal-relative:page" stroked="f">
            <w10:wrap anchorx="page"/>
          </v:rect>
        </w:pict>
      </w:r>
      <w:r>
        <w:rPr>
          <w:sz w:val="32"/>
        </w:rPr>
        <w:t>簡易乾淨施工，環保無毒。</w:t>
      </w:r>
      <w:r>
        <w:rPr>
          <w:spacing w:val="1"/>
          <w:sz w:val="32"/>
        </w:rPr>
        <w:t xml:space="preserve"> </w:t>
      </w:r>
      <w:r>
        <w:rPr>
          <w:sz w:val="32"/>
        </w:rPr>
        <w:t>用</w:t>
      </w:r>
      <w:r>
        <w:rPr>
          <w:sz w:val="32"/>
        </w:rPr>
        <w:tab/>
      </w:r>
      <w:r>
        <w:rPr>
          <w:spacing w:val="15"/>
          <w:sz w:val="32"/>
        </w:rPr>
        <w:t>途</w:t>
      </w:r>
      <w:r>
        <w:rPr>
          <w:sz w:val="32"/>
        </w:rPr>
        <w:t>：</w:t>
      </w:r>
      <w:r>
        <w:rPr>
          <w:color w:val="212121"/>
          <w:sz w:val="32"/>
        </w:rPr>
        <w:t>鋼筋混凝土結構物</w:t>
      </w:r>
      <w:proofErr w:type="gramStart"/>
      <w:r>
        <w:rPr>
          <w:color w:val="212121"/>
          <w:sz w:val="32"/>
        </w:rPr>
        <w:t>拆模後</w:t>
      </w:r>
      <w:proofErr w:type="gramEnd"/>
      <w:r>
        <w:rPr>
          <w:color w:val="212121"/>
          <w:sz w:val="32"/>
        </w:rPr>
        <w:t>使用。</w:t>
      </w:r>
    </w:p>
    <w:p w:rsidR="00424CE6" w:rsidRDefault="002D584E">
      <w:pPr>
        <w:pStyle w:val="a3"/>
        <w:spacing w:before="37"/>
        <w:ind w:left="113"/>
      </w:pPr>
      <w:r>
        <w:rPr>
          <w:spacing w:val="5"/>
        </w:rPr>
        <w:t>注</w:t>
      </w:r>
      <w:r>
        <w:rPr>
          <w:spacing w:val="5"/>
        </w:rPr>
        <w:t xml:space="preserve"> </w:t>
      </w:r>
      <w:r>
        <w:rPr>
          <w:spacing w:val="5"/>
        </w:rPr>
        <w:t>意</w:t>
      </w:r>
      <w:r>
        <w:rPr>
          <w:spacing w:val="5"/>
        </w:rPr>
        <w:t xml:space="preserve"> </w:t>
      </w:r>
      <w:r>
        <w:rPr>
          <w:spacing w:val="5"/>
        </w:rPr>
        <w:t>事</w:t>
      </w:r>
      <w:r>
        <w:rPr>
          <w:spacing w:val="5"/>
        </w:rPr>
        <w:t xml:space="preserve"> </w:t>
      </w:r>
      <w:r>
        <w:rPr>
          <w:spacing w:val="5"/>
        </w:rPr>
        <w:t>項：</w:t>
      </w:r>
      <w:r>
        <w:t>1.</w:t>
      </w:r>
      <w:r>
        <w:t>施作表面之粉塵</w:t>
      </w:r>
      <w:proofErr w:type="gramStart"/>
      <w:r>
        <w:t>髒污須</w:t>
      </w:r>
      <w:proofErr w:type="gramEnd"/>
      <w:r>
        <w:t>清理乾淨。</w:t>
      </w:r>
    </w:p>
    <w:p w:rsidR="00424CE6" w:rsidRDefault="002D584E">
      <w:pPr>
        <w:pStyle w:val="a5"/>
        <w:numPr>
          <w:ilvl w:val="0"/>
          <w:numId w:val="1"/>
        </w:numPr>
        <w:tabs>
          <w:tab w:val="left" w:pos="2562"/>
        </w:tabs>
        <w:rPr>
          <w:sz w:val="32"/>
        </w:rPr>
      </w:pPr>
      <w:r>
        <w:rPr>
          <w:w w:val="95"/>
          <w:sz w:val="32"/>
        </w:rPr>
        <w:t>不須再加水稀釋，以噴塗、</w:t>
      </w:r>
      <w:proofErr w:type="gramStart"/>
      <w:r>
        <w:rPr>
          <w:w w:val="95"/>
          <w:sz w:val="32"/>
        </w:rPr>
        <w:t>滾塗及刷</w:t>
      </w:r>
      <w:proofErr w:type="gramEnd"/>
      <w:r>
        <w:rPr>
          <w:w w:val="95"/>
          <w:sz w:val="32"/>
        </w:rPr>
        <w:t>塗方式施作。</w:t>
      </w:r>
    </w:p>
    <w:p w:rsidR="00424CE6" w:rsidRDefault="002D584E">
      <w:pPr>
        <w:pStyle w:val="a5"/>
        <w:numPr>
          <w:ilvl w:val="0"/>
          <w:numId w:val="1"/>
        </w:numPr>
        <w:tabs>
          <w:tab w:val="left" w:pos="845"/>
          <w:tab w:val="left" w:pos="1580"/>
          <w:tab w:val="left" w:pos="2562"/>
        </w:tabs>
        <w:spacing w:before="5" w:line="338" w:lineRule="auto"/>
        <w:ind w:left="113" w:right="112" w:firstLine="2126"/>
        <w:rPr>
          <w:sz w:val="32"/>
        </w:rPr>
      </w:pPr>
      <w:r>
        <w:rPr>
          <w:sz w:val="32"/>
        </w:rPr>
        <w:t>至少潤濕飽和</w:t>
      </w:r>
      <w:r>
        <w:rPr>
          <w:spacing w:val="-23"/>
          <w:sz w:val="32"/>
        </w:rPr>
        <w:t xml:space="preserve"> </w:t>
      </w:r>
      <w:r>
        <w:rPr>
          <w:sz w:val="32"/>
        </w:rPr>
        <w:t>24</w:t>
      </w:r>
      <w:r>
        <w:rPr>
          <w:spacing w:val="-24"/>
          <w:sz w:val="32"/>
        </w:rPr>
        <w:t xml:space="preserve"> </w:t>
      </w:r>
      <w:r>
        <w:rPr>
          <w:sz w:val="32"/>
        </w:rPr>
        <w:t>小</w:t>
      </w:r>
      <w:r>
        <w:rPr>
          <w:spacing w:val="-58"/>
          <w:sz w:val="32"/>
        </w:rPr>
        <w:t>時，</w:t>
      </w:r>
      <w:r>
        <w:rPr>
          <w:sz w:val="32"/>
        </w:rPr>
        <w:t>待表面乾燥即可進行後續應用施作。包</w:t>
      </w:r>
      <w:r>
        <w:rPr>
          <w:sz w:val="32"/>
        </w:rPr>
        <w:tab/>
      </w:r>
      <w:r>
        <w:rPr>
          <w:sz w:val="32"/>
        </w:rPr>
        <w:t>裝</w:t>
      </w:r>
      <w:r>
        <w:rPr>
          <w:sz w:val="32"/>
        </w:rPr>
        <w:tab/>
      </w:r>
      <w:r>
        <w:rPr>
          <w:spacing w:val="45"/>
          <w:w w:val="95"/>
          <w:sz w:val="32"/>
        </w:rPr>
        <w:t>量</w:t>
      </w:r>
      <w:r>
        <w:rPr>
          <w:w w:val="95"/>
          <w:sz w:val="32"/>
        </w:rPr>
        <w:t>：</w:t>
      </w:r>
      <w:r>
        <w:rPr>
          <w:rFonts w:ascii="Times New Roman" w:eastAsia="Times New Roman"/>
          <w:w w:val="95"/>
          <w:sz w:val="32"/>
        </w:rPr>
        <w:t>5</w:t>
      </w:r>
      <w:r>
        <w:rPr>
          <w:rFonts w:ascii="Times New Roman" w:eastAsia="Times New Roman"/>
          <w:spacing w:val="5"/>
          <w:w w:val="95"/>
          <w:sz w:val="32"/>
        </w:rPr>
        <w:t xml:space="preserve"> </w:t>
      </w:r>
      <w:r>
        <w:rPr>
          <w:w w:val="95"/>
          <w:sz w:val="32"/>
        </w:rPr>
        <w:t>加侖桶裝</w:t>
      </w:r>
      <w:r>
        <w:rPr>
          <w:spacing w:val="-71"/>
          <w:w w:val="95"/>
          <w:sz w:val="32"/>
        </w:rPr>
        <w:t xml:space="preserve"> </w:t>
      </w:r>
      <w:r>
        <w:rPr>
          <w:rFonts w:ascii="Times New Roman" w:eastAsia="Times New Roman"/>
          <w:w w:val="95"/>
          <w:sz w:val="32"/>
        </w:rPr>
        <w:t>18</w:t>
      </w:r>
      <w:r>
        <w:rPr>
          <w:rFonts w:ascii="Times New Roman" w:eastAsia="Times New Roman"/>
          <w:spacing w:val="5"/>
          <w:w w:val="95"/>
          <w:sz w:val="32"/>
        </w:rPr>
        <w:t xml:space="preserve"> </w:t>
      </w:r>
      <w:r>
        <w:rPr>
          <w:w w:val="95"/>
          <w:sz w:val="32"/>
        </w:rPr>
        <w:t>公斤</w:t>
      </w:r>
    </w:p>
    <w:p w:rsidR="00424CE6" w:rsidRDefault="002D584E">
      <w:pPr>
        <w:pStyle w:val="a3"/>
        <w:spacing w:before="13"/>
        <w:ind w:left="113"/>
      </w:pPr>
      <w:r>
        <w:rPr>
          <w:spacing w:val="2"/>
          <w:w w:val="95"/>
        </w:rPr>
        <w:t>儲存安定性：密封保存置於通風陰涼處，避免太陽直</w:t>
      </w:r>
      <w:proofErr w:type="gramStart"/>
      <w:r>
        <w:rPr>
          <w:spacing w:val="2"/>
          <w:w w:val="95"/>
        </w:rPr>
        <w:t>曬</w:t>
      </w:r>
      <w:proofErr w:type="gramEnd"/>
      <w:r>
        <w:rPr>
          <w:spacing w:val="2"/>
          <w:w w:val="95"/>
        </w:rPr>
        <w:t>。</w:t>
      </w:r>
    </w:p>
    <w:p w:rsidR="00424CE6" w:rsidRDefault="00424CE6">
      <w:pPr>
        <w:pStyle w:val="a3"/>
        <w:rPr>
          <w:sz w:val="20"/>
        </w:rPr>
      </w:pPr>
    </w:p>
    <w:p w:rsidR="00424CE6" w:rsidRDefault="002D584E">
      <w:pPr>
        <w:pStyle w:val="a3"/>
        <w:spacing w:before="11"/>
        <w:rPr>
          <w:sz w:val="14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589280</wp:posOffset>
            </wp:positionH>
            <wp:positionV relativeFrom="paragraph">
              <wp:posOffset>145838</wp:posOffset>
            </wp:positionV>
            <wp:extent cx="2826151" cy="159105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151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4076700</wp:posOffset>
            </wp:positionH>
            <wp:positionV relativeFrom="paragraph">
              <wp:posOffset>159572</wp:posOffset>
            </wp:positionV>
            <wp:extent cx="2891713" cy="168706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713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4CE6" w:rsidRDefault="00424CE6">
      <w:pPr>
        <w:pStyle w:val="a3"/>
        <w:rPr>
          <w:sz w:val="12"/>
        </w:rPr>
      </w:pPr>
    </w:p>
    <w:p w:rsidR="00424CE6" w:rsidRDefault="002D584E">
      <w:pPr>
        <w:pStyle w:val="a3"/>
        <w:tabs>
          <w:tab w:val="left" w:pos="6032"/>
        </w:tabs>
        <w:spacing w:before="36"/>
        <w:ind w:left="283"/>
        <w:jc w:val="center"/>
      </w:pPr>
      <w:r>
        <w:t>噴塗混凝土養護劑</w:t>
      </w:r>
      <w:r>
        <w:tab/>
      </w:r>
      <w:r>
        <w:t>避免產生收縮裂縫</w:t>
      </w:r>
    </w:p>
    <w:sectPr w:rsidR="00424CE6">
      <w:type w:val="continuous"/>
      <w:pgSz w:w="11910" w:h="16840"/>
      <w:pgMar w:top="26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A349B"/>
    <w:multiLevelType w:val="hybridMultilevel"/>
    <w:tmpl w:val="A0320B3C"/>
    <w:lvl w:ilvl="0" w:tplc="74AEC5EA">
      <w:start w:val="2"/>
      <w:numFmt w:val="decimal"/>
      <w:lvlText w:val="%1."/>
      <w:lvlJc w:val="left"/>
      <w:pPr>
        <w:ind w:left="2562" w:hanging="322"/>
        <w:jc w:val="left"/>
      </w:pPr>
      <w:rPr>
        <w:rFonts w:ascii="SimSun" w:eastAsia="SimSun" w:hAnsi="SimSun" w:cs="SimSun" w:hint="default"/>
        <w:spacing w:val="1"/>
        <w:w w:val="99"/>
        <w:sz w:val="30"/>
        <w:szCs w:val="30"/>
        <w:lang w:val="en-US" w:eastAsia="zh-TW" w:bidi="ar-SA"/>
      </w:rPr>
    </w:lvl>
    <w:lvl w:ilvl="1" w:tplc="23FE11EE">
      <w:numFmt w:val="bullet"/>
      <w:lvlText w:val="•"/>
      <w:lvlJc w:val="left"/>
      <w:pPr>
        <w:ind w:left="3420" w:hanging="322"/>
      </w:pPr>
      <w:rPr>
        <w:rFonts w:hint="default"/>
        <w:lang w:val="en-US" w:eastAsia="zh-TW" w:bidi="ar-SA"/>
      </w:rPr>
    </w:lvl>
    <w:lvl w:ilvl="2" w:tplc="385CB226">
      <w:numFmt w:val="bullet"/>
      <w:lvlText w:val="•"/>
      <w:lvlJc w:val="left"/>
      <w:pPr>
        <w:ind w:left="4281" w:hanging="322"/>
      </w:pPr>
      <w:rPr>
        <w:rFonts w:hint="default"/>
        <w:lang w:val="en-US" w:eastAsia="zh-TW" w:bidi="ar-SA"/>
      </w:rPr>
    </w:lvl>
    <w:lvl w:ilvl="3" w:tplc="F74EFA82">
      <w:numFmt w:val="bullet"/>
      <w:lvlText w:val="•"/>
      <w:lvlJc w:val="left"/>
      <w:pPr>
        <w:ind w:left="5141" w:hanging="322"/>
      </w:pPr>
      <w:rPr>
        <w:rFonts w:hint="default"/>
        <w:lang w:val="en-US" w:eastAsia="zh-TW" w:bidi="ar-SA"/>
      </w:rPr>
    </w:lvl>
    <w:lvl w:ilvl="4" w:tplc="EFF2AACA">
      <w:numFmt w:val="bullet"/>
      <w:lvlText w:val="•"/>
      <w:lvlJc w:val="left"/>
      <w:pPr>
        <w:ind w:left="6002" w:hanging="322"/>
      </w:pPr>
      <w:rPr>
        <w:rFonts w:hint="default"/>
        <w:lang w:val="en-US" w:eastAsia="zh-TW" w:bidi="ar-SA"/>
      </w:rPr>
    </w:lvl>
    <w:lvl w:ilvl="5" w:tplc="897CF276">
      <w:numFmt w:val="bullet"/>
      <w:lvlText w:val="•"/>
      <w:lvlJc w:val="left"/>
      <w:pPr>
        <w:ind w:left="6863" w:hanging="322"/>
      </w:pPr>
      <w:rPr>
        <w:rFonts w:hint="default"/>
        <w:lang w:val="en-US" w:eastAsia="zh-TW" w:bidi="ar-SA"/>
      </w:rPr>
    </w:lvl>
    <w:lvl w:ilvl="6" w:tplc="622A6830">
      <w:numFmt w:val="bullet"/>
      <w:lvlText w:val="•"/>
      <w:lvlJc w:val="left"/>
      <w:pPr>
        <w:ind w:left="7723" w:hanging="322"/>
      </w:pPr>
      <w:rPr>
        <w:rFonts w:hint="default"/>
        <w:lang w:val="en-US" w:eastAsia="zh-TW" w:bidi="ar-SA"/>
      </w:rPr>
    </w:lvl>
    <w:lvl w:ilvl="7" w:tplc="884C6F46">
      <w:numFmt w:val="bullet"/>
      <w:lvlText w:val="•"/>
      <w:lvlJc w:val="left"/>
      <w:pPr>
        <w:ind w:left="8584" w:hanging="322"/>
      </w:pPr>
      <w:rPr>
        <w:rFonts w:hint="default"/>
        <w:lang w:val="en-US" w:eastAsia="zh-TW" w:bidi="ar-SA"/>
      </w:rPr>
    </w:lvl>
    <w:lvl w:ilvl="8" w:tplc="5282A52A">
      <w:numFmt w:val="bullet"/>
      <w:lvlText w:val="•"/>
      <w:lvlJc w:val="left"/>
      <w:pPr>
        <w:ind w:left="9445" w:hanging="322"/>
      </w:pPr>
      <w:rPr>
        <w:rFonts w:hint="default"/>
        <w:lang w:val="en-US" w:eastAsia="zh-TW" w:bidi="ar-SA"/>
      </w:rPr>
    </w:lvl>
  </w:abstractNum>
  <w:abstractNum w:abstractNumId="1">
    <w:nsid w:val="5F3D667B"/>
    <w:multiLevelType w:val="hybridMultilevel"/>
    <w:tmpl w:val="7AEE5CAA"/>
    <w:lvl w:ilvl="0" w:tplc="3AB230A2">
      <w:start w:val="2"/>
      <w:numFmt w:val="decimal"/>
      <w:lvlText w:val="%1."/>
      <w:lvlJc w:val="left"/>
      <w:pPr>
        <w:ind w:left="2562" w:hanging="322"/>
        <w:jc w:val="left"/>
      </w:pPr>
      <w:rPr>
        <w:rFonts w:ascii="SimSun" w:eastAsia="SimSun" w:hAnsi="SimSun" w:cs="SimSun" w:hint="default"/>
        <w:spacing w:val="1"/>
        <w:w w:val="99"/>
        <w:sz w:val="30"/>
        <w:szCs w:val="30"/>
        <w:lang w:val="en-US" w:eastAsia="zh-TW" w:bidi="ar-SA"/>
      </w:rPr>
    </w:lvl>
    <w:lvl w:ilvl="1" w:tplc="1DDE13E4">
      <w:numFmt w:val="bullet"/>
      <w:lvlText w:val="•"/>
      <w:lvlJc w:val="left"/>
      <w:pPr>
        <w:ind w:left="3420" w:hanging="322"/>
      </w:pPr>
      <w:rPr>
        <w:rFonts w:hint="default"/>
        <w:lang w:val="en-US" w:eastAsia="zh-TW" w:bidi="ar-SA"/>
      </w:rPr>
    </w:lvl>
    <w:lvl w:ilvl="2" w:tplc="6800367E">
      <w:numFmt w:val="bullet"/>
      <w:lvlText w:val="•"/>
      <w:lvlJc w:val="left"/>
      <w:pPr>
        <w:ind w:left="4281" w:hanging="322"/>
      </w:pPr>
      <w:rPr>
        <w:rFonts w:hint="default"/>
        <w:lang w:val="en-US" w:eastAsia="zh-TW" w:bidi="ar-SA"/>
      </w:rPr>
    </w:lvl>
    <w:lvl w:ilvl="3" w:tplc="DCE24D00">
      <w:numFmt w:val="bullet"/>
      <w:lvlText w:val="•"/>
      <w:lvlJc w:val="left"/>
      <w:pPr>
        <w:ind w:left="5141" w:hanging="322"/>
      </w:pPr>
      <w:rPr>
        <w:rFonts w:hint="default"/>
        <w:lang w:val="en-US" w:eastAsia="zh-TW" w:bidi="ar-SA"/>
      </w:rPr>
    </w:lvl>
    <w:lvl w:ilvl="4" w:tplc="84AEA904">
      <w:numFmt w:val="bullet"/>
      <w:lvlText w:val="•"/>
      <w:lvlJc w:val="left"/>
      <w:pPr>
        <w:ind w:left="6002" w:hanging="322"/>
      </w:pPr>
      <w:rPr>
        <w:rFonts w:hint="default"/>
        <w:lang w:val="en-US" w:eastAsia="zh-TW" w:bidi="ar-SA"/>
      </w:rPr>
    </w:lvl>
    <w:lvl w:ilvl="5" w:tplc="9EFA615A">
      <w:numFmt w:val="bullet"/>
      <w:lvlText w:val="•"/>
      <w:lvlJc w:val="left"/>
      <w:pPr>
        <w:ind w:left="6863" w:hanging="322"/>
      </w:pPr>
      <w:rPr>
        <w:rFonts w:hint="default"/>
        <w:lang w:val="en-US" w:eastAsia="zh-TW" w:bidi="ar-SA"/>
      </w:rPr>
    </w:lvl>
    <w:lvl w:ilvl="6" w:tplc="3042D862">
      <w:numFmt w:val="bullet"/>
      <w:lvlText w:val="•"/>
      <w:lvlJc w:val="left"/>
      <w:pPr>
        <w:ind w:left="7723" w:hanging="322"/>
      </w:pPr>
      <w:rPr>
        <w:rFonts w:hint="default"/>
        <w:lang w:val="en-US" w:eastAsia="zh-TW" w:bidi="ar-SA"/>
      </w:rPr>
    </w:lvl>
    <w:lvl w:ilvl="7" w:tplc="A3D0F94A">
      <w:numFmt w:val="bullet"/>
      <w:lvlText w:val="•"/>
      <w:lvlJc w:val="left"/>
      <w:pPr>
        <w:ind w:left="8584" w:hanging="322"/>
      </w:pPr>
      <w:rPr>
        <w:rFonts w:hint="default"/>
        <w:lang w:val="en-US" w:eastAsia="zh-TW" w:bidi="ar-SA"/>
      </w:rPr>
    </w:lvl>
    <w:lvl w:ilvl="8" w:tplc="2A20765C">
      <w:numFmt w:val="bullet"/>
      <w:lvlText w:val="•"/>
      <w:lvlJc w:val="left"/>
      <w:pPr>
        <w:ind w:left="9445" w:hanging="322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24CE6"/>
    <w:rsid w:val="002D584E"/>
    <w:rsid w:val="0042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A71C1C9-4570-4787-846C-574FD478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861" w:lineRule="exact"/>
      <w:ind w:left="63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8"/>
      <w:ind w:left="2562" w:hanging="3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材料說明</dc:title>
  <dc:creator>User</dc:creator>
  <cp:lastModifiedBy>User</cp:lastModifiedBy>
  <cp:revision>2</cp:revision>
  <dcterms:created xsi:type="dcterms:W3CDTF">2023-09-20T02:58:00Z</dcterms:created>
  <dcterms:modified xsi:type="dcterms:W3CDTF">2023-09-20T03:04:00Z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2023-09-20T00:00:00Z</vt:filetime>
  </property>
</Properties>
</file>